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6"/>
        <w:tblW w:w="10074" w:type="dxa"/>
        <w:tblLook w:val="0000" w:firstRow="0" w:lastRow="0" w:firstColumn="0" w:lastColumn="0" w:noHBand="0" w:noVBand="0"/>
      </w:tblPr>
      <w:tblGrid>
        <w:gridCol w:w="4496"/>
        <w:gridCol w:w="86"/>
        <w:gridCol w:w="1216"/>
        <w:gridCol w:w="4219"/>
        <w:gridCol w:w="57"/>
      </w:tblGrid>
      <w:tr w:rsidR="0023370B" w:rsidRPr="0013408D" w:rsidTr="00AD59F3">
        <w:trPr>
          <w:trHeight w:val="1156"/>
        </w:trPr>
        <w:tc>
          <w:tcPr>
            <w:tcW w:w="4496" w:type="dxa"/>
          </w:tcPr>
          <w:p w:rsidR="0023370B" w:rsidRPr="001B5B9A" w:rsidRDefault="0023370B" w:rsidP="00AD59F3">
            <w:pPr>
              <w:tabs>
                <w:tab w:val="center" w:pos="4677"/>
                <w:tab w:val="right" w:pos="9355"/>
              </w:tabs>
              <w:rPr>
                <w:b/>
                <w:caps/>
                <w:sz w:val="24"/>
                <w:szCs w:val="24"/>
              </w:rPr>
            </w:pPr>
          </w:p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B3F4D">
              <w:rPr>
                <w:b/>
                <w:bCs/>
                <w:sz w:val="24"/>
                <w:szCs w:val="24"/>
              </w:rPr>
              <w:t>CURTEA SUPREMĂ DE JUSTIŢIE</w:t>
            </w:r>
          </w:p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8B3F4D">
              <w:rPr>
                <w:b/>
                <w:bCs/>
                <w:sz w:val="24"/>
                <w:szCs w:val="24"/>
              </w:rPr>
              <w:t>A REPUBLICII MOLDOVA</w:t>
            </w:r>
          </w:p>
        </w:tc>
        <w:tc>
          <w:tcPr>
            <w:tcW w:w="1302" w:type="dxa"/>
            <w:gridSpan w:val="2"/>
          </w:tcPr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  <w:lang w:val="ru-RU"/>
              </w:rPr>
              <w:drawing>
                <wp:inline distT="0" distB="0" distL="0" distR="0" wp14:anchorId="35898ACC" wp14:editId="789E9271">
                  <wp:extent cx="685800" cy="800100"/>
                  <wp:effectExtent l="0" t="0" r="0" b="0"/>
                  <wp:docPr id="9" name="Imagine 9" descr="Descriere: g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escriere: g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gridSpan w:val="2"/>
          </w:tcPr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B3F4D">
              <w:rPr>
                <w:b/>
                <w:sz w:val="24"/>
                <w:szCs w:val="24"/>
              </w:rPr>
              <w:t xml:space="preserve">THE SUPREME COURT OF JUSTICE </w:t>
            </w:r>
          </w:p>
          <w:p w:rsidR="0023370B" w:rsidRPr="008B3F4D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8B3F4D">
              <w:rPr>
                <w:b/>
                <w:sz w:val="24"/>
                <w:szCs w:val="24"/>
              </w:rPr>
              <w:t xml:space="preserve">OF THE REPUBLIC OF </w:t>
            </w:r>
            <w:r w:rsidRPr="008B3F4D">
              <w:rPr>
                <w:b/>
                <w:sz w:val="24"/>
                <w:szCs w:val="24"/>
                <w:lang w:val="en-US"/>
              </w:rPr>
              <w:t>M</w:t>
            </w:r>
            <w:r w:rsidRPr="008B3F4D">
              <w:rPr>
                <w:b/>
                <w:sz w:val="24"/>
                <w:szCs w:val="24"/>
              </w:rPr>
              <w:t>OLDOVA</w:t>
            </w:r>
          </w:p>
        </w:tc>
      </w:tr>
      <w:tr w:rsidR="0023370B" w:rsidRPr="00162169" w:rsidTr="00AD59F3">
        <w:trPr>
          <w:gridAfter w:val="1"/>
          <w:wAfter w:w="57" w:type="dxa"/>
          <w:trHeight w:val="793"/>
        </w:trPr>
        <w:tc>
          <w:tcPr>
            <w:tcW w:w="45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3370B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162169">
              <w:rPr>
                <w:color w:val="000000"/>
                <w:sz w:val="20"/>
              </w:rPr>
              <w:t xml:space="preserve">mun. Chişinău, str. M. Kogălniceanu, nr.70, Republica Moldova, MD-2009, tel. (+ 373 22) </w:t>
            </w:r>
            <w:proofErr w:type="spellStart"/>
            <w:r w:rsidRPr="00162169">
              <w:rPr>
                <w:color w:val="000000"/>
                <w:sz w:val="20"/>
              </w:rPr>
              <w:t>22</w:t>
            </w:r>
            <w:proofErr w:type="spellEnd"/>
            <w:r w:rsidRPr="00162169">
              <w:rPr>
                <w:color w:val="000000"/>
                <w:sz w:val="20"/>
              </w:rPr>
              <w:t xml:space="preserve"> 15 47, </w:t>
            </w:r>
          </w:p>
          <w:p w:rsidR="0023370B" w:rsidRPr="00162169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162169">
              <w:rPr>
                <w:color w:val="000000"/>
                <w:sz w:val="20"/>
              </w:rPr>
              <w:t xml:space="preserve">tel./fax:(+ 373 22) </w:t>
            </w:r>
            <w:proofErr w:type="spellStart"/>
            <w:r w:rsidRPr="00162169">
              <w:rPr>
                <w:color w:val="000000"/>
                <w:sz w:val="20"/>
              </w:rPr>
              <w:t>22</w:t>
            </w:r>
            <w:proofErr w:type="spellEnd"/>
            <w:r w:rsidRPr="00162169">
              <w:rPr>
                <w:color w:val="000000"/>
                <w:sz w:val="20"/>
              </w:rPr>
              <w:t xml:space="preserve"> 52 27, e-mail: </w:t>
            </w:r>
            <w:proofErr w:type="spellStart"/>
            <w:r w:rsidRPr="00162169">
              <w:rPr>
                <w:color w:val="000000"/>
                <w:sz w:val="20"/>
              </w:rPr>
              <w:t>info</w:t>
            </w:r>
            <w:proofErr w:type="spellEnd"/>
            <w:r w:rsidRPr="00162169">
              <w:rPr>
                <w:color w:val="000000"/>
                <w:sz w:val="20"/>
                <w:lang w:val="fr-FR"/>
              </w:rPr>
              <w:t>@csj.md</w:t>
            </w:r>
          </w:p>
        </w:tc>
        <w:tc>
          <w:tcPr>
            <w:tcW w:w="12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3370B" w:rsidRPr="00162169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2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3370B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</w:rPr>
            </w:pPr>
            <w:r w:rsidRPr="00162169">
              <w:rPr>
                <w:bCs/>
                <w:sz w:val="20"/>
              </w:rPr>
              <w:t xml:space="preserve">Chişinău, M. </w:t>
            </w:r>
            <w:proofErr w:type="spellStart"/>
            <w:r w:rsidRPr="00162169">
              <w:rPr>
                <w:bCs/>
                <w:sz w:val="20"/>
              </w:rPr>
              <w:t>Kogalniceanu</w:t>
            </w:r>
            <w:proofErr w:type="spellEnd"/>
            <w:r w:rsidRPr="00162169">
              <w:rPr>
                <w:bCs/>
                <w:sz w:val="20"/>
              </w:rPr>
              <w:t xml:space="preserve"> 70 </w:t>
            </w:r>
            <w:proofErr w:type="spellStart"/>
            <w:r w:rsidRPr="00162169">
              <w:rPr>
                <w:bCs/>
                <w:sz w:val="20"/>
              </w:rPr>
              <w:t>street</w:t>
            </w:r>
            <w:proofErr w:type="spellEnd"/>
            <w:r w:rsidRPr="00162169">
              <w:rPr>
                <w:bCs/>
                <w:sz w:val="20"/>
              </w:rPr>
              <w:t>, Republic of Moldova, MD-2009,</w:t>
            </w:r>
            <w:r>
              <w:rPr>
                <w:bCs/>
                <w:sz w:val="20"/>
              </w:rPr>
              <w:t xml:space="preserve"> tel. (+373 22) </w:t>
            </w:r>
            <w:proofErr w:type="spellStart"/>
            <w:r>
              <w:rPr>
                <w:bCs/>
                <w:sz w:val="20"/>
              </w:rPr>
              <w:t>22</w:t>
            </w:r>
            <w:proofErr w:type="spellEnd"/>
            <w:r>
              <w:rPr>
                <w:bCs/>
                <w:sz w:val="20"/>
              </w:rPr>
              <w:t xml:space="preserve"> 15 47, </w:t>
            </w:r>
          </w:p>
          <w:p w:rsidR="0023370B" w:rsidRPr="00162169" w:rsidRDefault="0023370B" w:rsidP="00AD59F3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tel./ </w:t>
            </w:r>
            <w:r w:rsidRPr="00162169">
              <w:rPr>
                <w:bCs/>
                <w:sz w:val="20"/>
              </w:rPr>
              <w:t xml:space="preserve">fax: (+373 22) </w:t>
            </w:r>
            <w:proofErr w:type="spellStart"/>
            <w:r w:rsidRPr="00162169">
              <w:rPr>
                <w:bCs/>
                <w:sz w:val="20"/>
              </w:rPr>
              <w:t>22</w:t>
            </w:r>
            <w:proofErr w:type="spellEnd"/>
            <w:r w:rsidRPr="00162169">
              <w:rPr>
                <w:bCs/>
                <w:sz w:val="20"/>
              </w:rPr>
              <w:t xml:space="preserve"> 52 27, </w:t>
            </w:r>
            <w:r w:rsidRPr="00162169">
              <w:rPr>
                <w:color w:val="000000"/>
                <w:sz w:val="20"/>
              </w:rPr>
              <w:t xml:space="preserve">e-mail: </w:t>
            </w:r>
            <w:proofErr w:type="spellStart"/>
            <w:r w:rsidRPr="00162169">
              <w:rPr>
                <w:color w:val="000000"/>
                <w:sz w:val="20"/>
              </w:rPr>
              <w:t>info</w:t>
            </w:r>
            <w:proofErr w:type="spellEnd"/>
            <w:r w:rsidRPr="00162169">
              <w:rPr>
                <w:color w:val="000000"/>
                <w:sz w:val="20"/>
                <w:lang w:val="en-US"/>
              </w:rPr>
              <w:t>@csj.md</w:t>
            </w:r>
          </w:p>
        </w:tc>
      </w:tr>
    </w:tbl>
    <w:p w:rsidR="0023370B" w:rsidRPr="0025143D" w:rsidRDefault="0023370B" w:rsidP="0023370B">
      <w:pPr>
        <w:pStyle w:val="Corptext"/>
        <w:ind w:left="240"/>
        <w:rPr>
          <w:sz w:val="20"/>
        </w:rPr>
      </w:pPr>
      <w:r w:rsidRPr="0025143D">
        <w:rPr>
          <w:sz w:val="20"/>
        </w:rPr>
        <w:t xml:space="preserve">  </w:t>
      </w:r>
    </w:p>
    <w:p w:rsidR="0023370B" w:rsidRDefault="0023370B" w:rsidP="0023370B">
      <w:pPr>
        <w:jc w:val="center"/>
        <w:rPr>
          <w:sz w:val="24"/>
          <w:szCs w:val="24"/>
        </w:rPr>
      </w:pPr>
    </w:p>
    <w:p w:rsidR="0023370B" w:rsidRDefault="0023370B" w:rsidP="0023370B">
      <w:pPr>
        <w:jc w:val="center"/>
        <w:rPr>
          <w:b/>
          <w:sz w:val="32"/>
          <w:szCs w:val="32"/>
        </w:rPr>
      </w:pPr>
      <w:r w:rsidRPr="006F6D9C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6F6D9C">
        <w:rPr>
          <w:b/>
          <w:sz w:val="32"/>
          <w:szCs w:val="32"/>
        </w:rPr>
        <w:t>I S P O Z I Ţ I E</w:t>
      </w:r>
    </w:p>
    <w:p w:rsidR="0023370B" w:rsidRDefault="0023370B" w:rsidP="0023370B">
      <w:pPr>
        <w:rPr>
          <w:b/>
          <w:sz w:val="32"/>
          <w:szCs w:val="32"/>
        </w:rPr>
      </w:pPr>
    </w:p>
    <w:p w:rsidR="0023370B" w:rsidRPr="006F6D9C" w:rsidRDefault="0023370B" w:rsidP="0023370B">
      <w:pPr>
        <w:rPr>
          <w:b/>
          <w:sz w:val="32"/>
          <w:szCs w:val="32"/>
        </w:rPr>
      </w:pPr>
    </w:p>
    <w:p w:rsidR="0023370B" w:rsidRDefault="0023370B" w:rsidP="0023370B">
      <w:pPr>
        <w:rPr>
          <w:bCs/>
          <w:szCs w:val="28"/>
        </w:rPr>
      </w:pPr>
      <w:r>
        <w:rPr>
          <w:bCs/>
          <w:szCs w:val="28"/>
        </w:rPr>
        <w:t xml:space="preserve">21 iunie </w:t>
      </w:r>
      <w:r w:rsidRPr="00711E37">
        <w:rPr>
          <w:bCs/>
          <w:szCs w:val="28"/>
        </w:rPr>
        <w:t>201</w:t>
      </w:r>
      <w:r>
        <w:rPr>
          <w:bCs/>
          <w:szCs w:val="28"/>
        </w:rPr>
        <w:t>8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  nr.68</w:t>
      </w:r>
    </w:p>
    <w:p w:rsidR="0023370B" w:rsidRPr="006F6D9C" w:rsidRDefault="0023370B" w:rsidP="0023370B">
      <w:pPr>
        <w:jc w:val="both"/>
        <w:rPr>
          <w:szCs w:val="28"/>
        </w:rPr>
      </w:pPr>
    </w:p>
    <w:p w:rsidR="0023370B" w:rsidRPr="00266277" w:rsidRDefault="0023370B" w:rsidP="0023370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Pr="00266277">
        <w:rPr>
          <w:b/>
          <w:i/>
          <w:sz w:val="24"/>
          <w:szCs w:val="24"/>
        </w:rPr>
        <w:t>u privire la programul de lucru</w:t>
      </w:r>
    </w:p>
    <w:p w:rsidR="0023370B" w:rsidRDefault="00594C57" w:rsidP="0023370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pentru data de </w:t>
      </w:r>
      <w:bookmarkStart w:id="0" w:name="_GoBack"/>
      <w:bookmarkEnd w:id="0"/>
      <w:r w:rsidR="0023370B">
        <w:rPr>
          <w:b/>
          <w:i/>
          <w:sz w:val="24"/>
          <w:szCs w:val="24"/>
        </w:rPr>
        <w:t>24 iunie 2018</w:t>
      </w:r>
    </w:p>
    <w:p w:rsidR="0023370B" w:rsidRDefault="0023370B" w:rsidP="0023370B">
      <w:pPr>
        <w:jc w:val="both"/>
        <w:rPr>
          <w:b/>
          <w:i/>
          <w:sz w:val="24"/>
          <w:szCs w:val="24"/>
        </w:rPr>
      </w:pPr>
    </w:p>
    <w:p w:rsidR="0023370B" w:rsidRPr="005D5034" w:rsidRDefault="0023370B" w:rsidP="0023370B">
      <w:pPr>
        <w:ind w:firstLine="709"/>
        <w:jc w:val="both"/>
        <w:rPr>
          <w:szCs w:val="28"/>
        </w:rPr>
      </w:pPr>
      <w:r w:rsidRPr="00985A16">
        <w:rPr>
          <w:szCs w:val="28"/>
        </w:rPr>
        <w:t xml:space="preserve">În conformitate cu </w:t>
      </w:r>
      <w:r>
        <w:rPr>
          <w:szCs w:val="28"/>
        </w:rPr>
        <w:t>Dispoziţia</w:t>
      </w:r>
      <w:r w:rsidRPr="00985A16">
        <w:rPr>
          <w:szCs w:val="28"/>
        </w:rPr>
        <w:t xml:space="preserve"> Consiliului</w:t>
      </w:r>
      <w:r>
        <w:rPr>
          <w:szCs w:val="28"/>
        </w:rPr>
        <w:t xml:space="preserve"> Superior al Magistraturii nr.69 din 18 iunie 2018</w:t>
      </w:r>
      <w:r w:rsidRPr="00985A16">
        <w:rPr>
          <w:szCs w:val="28"/>
        </w:rPr>
        <w:t xml:space="preserve"> cu privire la activitatea </w:t>
      </w:r>
      <w:r>
        <w:rPr>
          <w:szCs w:val="28"/>
        </w:rPr>
        <w:t xml:space="preserve">unor instanţe judecătoreşti în ziua de 24 iunie 2018 </w:t>
      </w:r>
      <w:r w:rsidRPr="00985A16">
        <w:rPr>
          <w:szCs w:val="28"/>
        </w:rPr>
        <w:t xml:space="preserve">în legătură cu desfăşurarea </w:t>
      </w:r>
      <w:r>
        <w:rPr>
          <w:szCs w:val="28"/>
        </w:rPr>
        <w:t xml:space="preserve">alegerilor locale noi în Adunarea Populară a Găgăuziei de la circumscripţia electorală nr.10 din oraşul Vulcăneşti; în conformitate cu </w:t>
      </w:r>
      <w:r w:rsidRPr="005D5034">
        <w:rPr>
          <w:szCs w:val="28"/>
        </w:rPr>
        <w:t>art. 67 şi 68 din Codul electoral</w:t>
      </w:r>
      <w:r>
        <w:rPr>
          <w:szCs w:val="28"/>
        </w:rPr>
        <w:t xml:space="preserve"> şi Legii contenciosului administrativ, instanţele judecătoreşti examinează</w:t>
      </w:r>
      <w:r w:rsidRPr="005D5034">
        <w:rPr>
          <w:szCs w:val="28"/>
        </w:rPr>
        <w:t xml:space="preserve"> contesta</w:t>
      </w:r>
      <w:r>
        <w:rPr>
          <w:szCs w:val="28"/>
        </w:rPr>
        <w:t>ţiile şi litigiile electorale nu mai târziu de ziua alegerilor</w:t>
      </w:r>
      <w:r w:rsidRPr="005D5034">
        <w:rPr>
          <w:szCs w:val="28"/>
        </w:rPr>
        <w:t xml:space="preserve">, iar </w:t>
      </w:r>
      <w:r>
        <w:rPr>
          <w:szCs w:val="28"/>
        </w:rPr>
        <w:t xml:space="preserve">conform art.73 alin.(5) din Codul electoral, </w:t>
      </w:r>
      <w:r w:rsidRPr="005D5034">
        <w:rPr>
          <w:szCs w:val="28"/>
        </w:rPr>
        <w:t>pro</w:t>
      </w:r>
      <w:r>
        <w:rPr>
          <w:szCs w:val="28"/>
        </w:rPr>
        <w:t xml:space="preserve">gramul instanţelor de judecată trebuie </w:t>
      </w:r>
      <w:r w:rsidRPr="005D5034">
        <w:rPr>
          <w:szCs w:val="28"/>
        </w:rPr>
        <w:t>organi</w:t>
      </w:r>
      <w:r>
        <w:rPr>
          <w:szCs w:val="28"/>
        </w:rPr>
        <w:t>zat</w:t>
      </w:r>
      <w:r w:rsidRPr="005D5034">
        <w:rPr>
          <w:szCs w:val="28"/>
        </w:rPr>
        <w:t xml:space="preserve"> astfel încât contestaţiile să poată fi depuse şi examinate fără întârziere.</w:t>
      </w:r>
    </w:p>
    <w:p w:rsidR="0023370B" w:rsidRPr="00810260" w:rsidRDefault="0023370B" w:rsidP="0023370B">
      <w:pPr>
        <w:ind w:firstLine="708"/>
        <w:jc w:val="both"/>
        <w:rPr>
          <w:szCs w:val="28"/>
        </w:rPr>
      </w:pPr>
      <w:r>
        <w:rPr>
          <w:szCs w:val="28"/>
        </w:rPr>
        <w:t>Ţinând cont de cele menţionate şi conducându-mă</w:t>
      </w:r>
      <w:r w:rsidRPr="00810260">
        <w:rPr>
          <w:szCs w:val="28"/>
        </w:rPr>
        <w:t xml:space="preserve"> de prevederile art. 7</w:t>
      </w:r>
      <w:r>
        <w:rPr>
          <w:szCs w:val="28"/>
        </w:rPr>
        <w:t xml:space="preserve"> alin. (2</w:t>
      </w:r>
      <w:r w:rsidRPr="00810260">
        <w:rPr>
          <w:szCs w:val="28"/>
        </w:rPr>
        <w:t xml:space="preserve">) din Legea cu privire </w:t>
      </w:r>
      <w:smartTag w:uri="urn:schemas-microsoft-com:office:smarttags" w:element="PersonName">
        <w:smartTagPr>
          <w:attr w:name="ProductID" w:val="la Curtea Supremă"/>
        </w:smartTagPr>
        <w:smartTag w:uri="urn:schemas-microsoft-com:office:smarttags" w:element="PersonName">
          <w:smartTagPr>
            <w:attr w:name="ProductID" w:val="la Curtea"/>
          </w:smartTagPr>
          <w:r w:rsidRPr="00810260">
            <w:rPr>
              <w:szCs w:val="28"/>
            </w:rPr>
            <w:t>la Curtea</w:t>
          </w:r>
        </w:smartTag>
        <w:r w:rsidRPr="00810260">
          <w:rPr>
            <w:szCs w:val="28"/>
          </w:rPr>
          <w:t xml:space="preserve"> Supremă</w:t>
        </w:r>
      </w:smartTag>
      <w:r w:rsidRPr="00810260">
        <w:rPr>
          <w:szCs w:val="28"/>
        </w:rPr>
        <w:t xml:space="preserve"> de Justiţie</w:t>
      </w:r>
      <w:r>
        <w:rPr>
          <w:szCs w:val="28"/>
        </w:rPr>
        <w:t>,</w:t>
      </w:r>
      <w:r w:rsidRPr="00810260">
        <w:rPr>
          <w:szCs w:val="28"/>
        </w:rPr>
        <w:t xml:space="preserve">   </w:t>
      </w:r>
    </w:p>
    <w:p w:rsidR="0023370B" w:rsidRPr="006F6D9C" w:rsidRDefault="0023370B" w:rsidP="0023370B">
      <w:pPr>
        <w:tabs>
          <w:tab w:val="left" w:pos="1080"/>
        </w:tabs>
        <w:ind w:firstLine="720"/>
        <w:jc w:val="center"/>
        <w:rPr>
          <w:szCs w:val="28"/>
        </w:rPr>
      </w:pPr>
    </w:p>
    <w:p w:rsidR="0023370B" w:rsidRPr="006F6D9C" w:rsidRDefault="0023370B" w:rsidP="0023370B">
      <w:pPr>
        <w:tabs>
          <w:tab w:val="left" w:pos="0"/>
        </w:tabs>
        <w:jc w:val="center"/>
        <w:rPr>
          <w:szCs w:val="28"/>
        </w:rPr>
      </w:pPr>
      <w:r w:rsidRPr="006F6D9C">
        <w:rPr>
          <w:szCs w:val="28"/>
        </w:rPr>
        <w:t>D I S P U N:</w:t>
      </w:r>
    </w:p>
    <w:p w:rsidR="0023370B" w:rsidRDefault="0023370B" w:rsidP="0023370B">
      <w:pPr>
        <w:tabs>
          <w:tab w:val="left" w:pos="1080"/>
        </w:tabs>
        <w:ind w:firstLine="720"/>
        <w:jc w:val="center"/>
        <w:rPr>
          <w:szCs w:val="28"/>
        </w:rPr>
      </w:pPr>
    </w:p>
    <w:p w:rsidR="0023370B" w:rsidRPr="006F6D9C" w:rsidRDefault="0023370B" w:rsidP="0023370B">
      <w:pPr>
        <w:tabs>
          <w:tab w:val="left" w:pos="1080"/>
        </w:tabs>
        <w:ind w:firstLine="720"/>
        <w:jc w:val="center"/>
        <w:rPr>
          <w:szCs w:val="28"/>
        </w:rPr>
      </w:pPr>
    </w:p>
    <w:p w:rsidR="0023370B" w:rsidRDefault="0023370B" w:rsidP="0023370B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1.  Ziua de 24 iunie 2018 se declară zi lucrătoare pentru preşedintele</w:t>
      </w:r>
      <w:r w:rsidRPr="0000528C">
        <w:rPr>
          <w:szCs w:val="28"/>
        </w:rPr>
        <w:t xml:space="preserve"> </w:t>
      </w:r>
      <w:r>
        <w:rPr>
          <w:szCs w:val="28"/>
        </w:rPr>
        <w:t>Curţii Supreme de Justiţie, vicepreşedintele şi judecătorii Curţii Supreme de Justiţie şi asistenţii judiciari din cadrul Colegiului civil, comercial şi de contencios administrativ.</w:t>
      </w:r>
    </w:p>
    <w:p w:rsidR="0023370B" w:rsidRDefault="0023370B" w:rsidP="0023370B">
      <w:pPr>
        <w:ind w:firstLine="720"/>
        <w:jc w:val="both"/>
        <w:rPr>
          <w:szCs w:val="28"/>
        </w:rPr>
      </w:pPr>
      <w:r>
        <w:rPr>
          <w:szCs w:val="28"/>
        </w:rPr>
        <w:t>2. Contestaţiile în materie electorală depuse la instanţele de judecată în</w:t>
      </w:r>
      <w:r w:rsidRPr="00EB4A58">
        <w:rPr>
          <w:szCs w:val="28"/>
        </w:rPr>
        <w:t xml:space="preserve"> </w:t>
      </w:r>
      <w:r>
        <w:rPr>
          <w:szCs w:val="28"/>
        </w:rPr>
        <w:t>ziua de 24 iunie 2018 se vor repartiza judecătorilor,</w:t>
      </w:r>
      <w:r w:rsidRPr="00EB4A58">
        <w:rPr>
          <w:szCs w:val="28"/>
        </w:rPr>
        <w:t xml:space="preserve"> </w:t>
      </w:r>
      <w:r>
        <w:rPr>
          <w:szCs w:val="28"/>
        </w:rPr>
        <w:t xml:space="preserve">în mod aleatoriu, prin intermediul Programului Integrat de Gestionare a Dosarelor.     </w:t>
      </w:r>
    </w:p>
    <w:p w:rsidR="0023370B" w:rsidRDefault="0023370B" w:rsidP="0023370B">
      <w:pPr>
        <w:ind w:firstLine="720"/>
        <w:jc w:val="both"/>
        <w:rPr>
          <w:szCs w:val="28"/>
        </w:rPr>
      </w:pPr>
      <w:r>
        <w:rPr>
          <w:szCs w:val="28"/>
        </w:rPr>
        <w:t>3. Vicepreşedintele Curţii Supreme de Justiţie, Vieru Tatiana, preşedinte al Colegiului civil, comercial şi de contencios administrativ va numi câte un asistent al judecătorului şi câte o persoană responsabilă de înregistrarea şi repartizarea contestaţiilor din cadrul secţiei documentare procesuală a cauzelor civile,</w:t>
      </w:r>
      <w:r w:rsidRPr="0015010A">
        <w:rPr>
          <w:szCs w:val="28"/>
        </w:rPr>
        <w:t xml:space="preserve"> </w:t>
      </w:r>
      <w:r>
        <w:rPr>
          <w:szCs w:val="28"/>
        </w:rPr>
        <w:t>comerciale şi de contencios administrativ şi din secţia evidenţă procesuală a cauzelor civile,</w:t>
      </w:r>
      <w:r w:rsidRPr="0015010A">
        <w:rPr>
          <w:szCs w:val="28"/>
        </w:rPr>
        <w:t xml:space="preserve"> </w:t>
      </w:r>
      <w:r>
        <w:rPr>
          <w:szCs w:val="28"/>
        </w:rPr>
        <w:t xml:space="preserve">comerciale şi de contencios administrativ, care se vor prezenta la serviciu în ziua susmenţionată, precum şi un angajat al serviciului expediţie şi </w:t>
      </w:r>
      <w:r>
        <w:rPr>
          <w:szCs w:val="28"/>
        </w:rPr>
        <w:lastRenderedPageBreak/>
        <w:t>biroului de audienţă, responsabili de gestiunea cauzelor civile, comerciale şi de contencios administrativ.</w:t>
      </w:r>
    </w:p>
    <w:p w:rsidR="0023370B" w:rsidRDefault="0023370B" w:rsidP="0023370B">
      <w:pPr>
        <w:ind w:firstLine="720"/>
        <w:jc w:val="both"/>
        <w:rPr>
          <w:szCs w:val="28"/>
        </w:rPr>
      </w:pPr>
      <w:r>
        <w:rPr>
          <w:szCs w:val="28"/>
        </w:rPr>
        <w:t xml:space="preserve">4.  Se dispune şefului Secretariatului să asigure prezenţa la serviciu şi a angajaţilor din Serviciul administrativ, activitatea căror este necesară pentru funcţionarea instanţei în ziua de 24 iunie 2018. </w:t>
      </w:r>
    </w:p>
    <w:p w:rsidR="0023370B" w:rsidRDefault="0023370B" w:rsidP="0023370B">
      <w:pPr>
        <w:ind w:firstLine="720"/>
        <w:jc w:val="both"/>
        <w:rPr>
          <w:szCs w:val="28"/>
        </w:rPr>
      </w:pPr>
      <w:r>
        <w:rPr>
          <w:szCs w:val="28"/>
        </w:rPr>
        <w:t xml:space="preserve">5.  Se stabileşte că angajaţii care vor lucra în ziua de 24 iunie 2018 vor beneficia, la solicitare, de concediu suplimentar, 1 zi, pe care îl vor putea utiliza până la finele anului 2018.   </w:t>
      </w:r>
    </w:p>
    <w:p w:rsidR="0023370B" w:rsidRDefault="0023370B" w:rsidP="0023370B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6. A informa despre prezenta dispoziţie judecătorii şi persoanele responsabile numite, contra semnătură şi a o publica pe site-ul </w:t>
      </w:r>
      <w:hyperlink r:id="rId6" w:history="1">
        <w:r w:rsidRPr="005241AE">
          <w:rPr>
            <w:rStyle w:val="Hyperlink"/>
            <w:szCs w:val="28"/>
          </w:rPr>
          <w:t>www.csj.md</w:t>
        </w:r>
      </w:hyperlink>
      <w:r>
        <w:rPr>
          <w:szCs w:val="28"/>
        </w:rPr>
        <w:t>.</w:t>
      </w:r>
    </w:p>
    <w:p w:rsidR="0023370B" w:rsidRDefault="0023370B" w:rsidP="0023370B">
      <w:pPr>
        <w:ind w:firstLine="720"/>
        <w:jc w:val="both"/>
        <w:rPr>
          <w:szCs w:val="28"/>
        </w:rPr>
      </w:pPr>
      <w:r w:rsidRPr="00061943">
        <w:rPr>
          <w:szCs w:val="28"/>
        </w:rPr>
        <w:t>7.</w:t>
      </w:r>
      <w:r>
        <w:rPr>
          <w:szCs w:val="28"/>
        </w:rPr>
        <w:t xml:space="preserve">  Controlul executării prezentei dispoziţii se dispune vicepreşedintelui Curţii Supreme Vieru Tatiana, preşedinte al Colegiului civil, comercial şi de contencios administrativ şi şefului Secretariatului </w:t>
      </w:r>
      <w:proofErr w:type="spellStart"/>
      <w:r>
        <w:rPr>
          <w:szCs w:val="28"/>
        </w:rPr>
        <w:t>Gamurar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Fatima</w:t>
      </w:r>
      <w:proofErr w:type="spellEnd"/>
      <w:r>
        <w:rPr>
          <w:szCs w:val="28"/>
        </w:rPr>
        <w:t>.</w:t>
      </w:r>
    </w:p>
    <w:p w:rsidR="0023370B" w:rsidRDefault="0023370B" w:rsidP="0023370B">
      <w:pPr>
        <w:ind w:firstLine="720"/>
        <w:jc w:val="both"/>
        <w:rPr>
          <w:szCs w:val="28"/>
        </w:rPr>
      </w:pPr>
    </w:p>
    <w:p w:rsidR="0023370B" w:rsidRDefault="0023370B" w:rsidP="0023370B">
      <w:pPr>
        <w:jc w:val="both"/>
        <w:rPr>
          <w:szCs w:val="28"/>
        </w:rPr>
      </w:pPr>
    </w:p>
    <w:p w:rsidR="0023370B" w:rsidRDefault="0023370B" w:rsidP="0023370B">
      <w:pPr>
        <w:ind w:left="708"/>
        <w:jc w:val="both"/>
        <w:rPr>
          <w:szCs w:val="28"/>
        </w:rPr>
      </w:pPr>
    </w:p>
    <w:p w:rsidR="0023370B" w:rsidRDefault="0023370B" w:rsidP="0023370B">
      <w:pPr>
        <w:ind w:left="708"/>
        <w:jc w:val="both"/>
        <w:rPr>
          <w:szCs w:val="28"/>
        </w:rPr>
      </w:pPr>
    </w:p>
    <w:p w:rsidR="0023370B" w:rsidRPr="00CE3D88" w:rsidRDefault="0023370B" w:rsidP="0023370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Preşedinte-interimar</w:t>
      </w:r>
      <w:r w:rsidRPr="00CE3D88">
        <w:rPr>
          <w:b/>
          <w:szCs w:val="28"/>
        </w:rPr>
        <w:t xml:space="preserve"> </w:t>
      </w:r>
      <w:r w:rsidRPr="00CE3D88">
        <w:rPr>
          <w:b/>
          <w:szCs w:val="28"/>
        </w:rPr>
        <w:tab/>
      </w:r>
      <w:r w:rsidRPr="00CE3D88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Tatiana Vieru                       </w:t>
      </w:r>
    </w:p>
    <w:p w:rsidR="0023370B" w:rsidRDefault="0023370B" w:rsidP="0023370B">
      <w:pPr>
        <w:jc w:val="center"/>
        <w:rPr>
          <w:sz w:val="24"/>
          <w:szCs w:val="24"/>
        </w:rPr>
      </w:pPr>
    </w:p>
    <w:p w:rsidR="0023370B" w:rsidRDefault="0023370B" w:rsidP="0023370B">
      <w:pPr>
        <w:jc w:val="center"/>
        <w:rPr>
          <w:sz w:val="24"/>
          <w:szCs w:val="24"/>
        </w:rPr>
      </w:pPr>
    </w:p>
    <w:p w:rsidR="0023370B" w:rsidRDefault="0023370B" w:rsidP="0023370B">
      <w:pPr>
        <w:jc w:val="center"/>
        <w:rPr>
          <w:sz w:val="24"/>
          <w:szCs w:val="24"/>
        </w:rPr>
      </w:pPr>
    </w:p>
    <w:p w:rsidR="0023370B" w:rsidRDefault="0023370B" w:rsidP="0023370B">
      <w:pPr>
        <w:jc w:val="center"/>
        <w:rPr>
          <w:sz w:val="24"/>
          <w:szCs w:val="24"/>
        </w:rPr>
      </w:pPr>
    </w:p>
    <w:p w:rsidR="00232F7F" w:rsidRDefault="00232F7F"/>
    <w:sectPr w:rsidR="0023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08"/>
    <w:rsid w:val="00080708"/>
    <w:rsid w:val="00232F7F"/>
    <w:rsid w:val="0023370B"/>
    <w:rsid w:val="00594C57"/>
    <w:rsid w:val="005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23370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3370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Hyperlink">
    <w:name w:val="Hyperlink"/>
    <w:basedOn w:val="Fontdeparagrafimplicit"/>
    <w:rsid w:val="0023370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370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70B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23370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3370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Hyperlink">
    <w:name w:val="Hyperlink"/>
    <w:basedOn w:val="Fontdeparagrafimplicit"/>
    <w:rsid w:val="0023370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370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70B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j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2018-06-22T08:53:00Z</dcterms:created>
  <dcterms:modified xsi:type="dcterms:W3CDTF">2018-06-22T08:54:00Z</dcterms:modified>
</cp:coreProperties>
</file>